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u w:val="single"/>
        </w:rPr>
        <w:t>ΔΙΑΓΡΑΜΜΑ ΜΑΘΗΜΑΤΟΣ "ΕΓΚΛΗΜΑΤΑ ΚΑΤΑ ΤΗΣ ΙΔΙΟΚΤΗΣΙΑΣ"</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 xml:space="preserve">1. </w:t>
      </w:r>
      <w:proofErr w:type="spellStart"/>
      <w:r>
        <w:rPr>
          <w:rFonts w:ascii="Arial" w:hAnsi="Arial" w:cs="Arial"/>
          <w:color w:val="555555"/>
          <w:sz w:val="21"/>
          <w:szCs w:val="21"/>
        </w:rPr>
        <w:t>To</w:t>
      </w:r>
      <w:proofErr w:type="spellEnd"/>
      <w:r>
        <w:rPr>
          <w:rFonts w:ascii="Arial" w:hAnsi="Arial" w:cs="Arial"/>
          <w:color w:val="555555"/>
          <w:sz w:val="21"/>
          <w:szCs w:val="21"/>
        </w:rPr>
        <w:t xml:space="preserve"> προστατευόμενο έννομο αγαθό στα εγκλήματα κατά της ιδιοκτησίας: Εννοιολογικά χαρακτηριστικά. Συνταγματική διάσταση. Σχέση του εννόμου αγαθού «ιδιοκτησία» με το έννομο αγαθό «περιουσία». Η δομή του κεφαλαίου των εγκλημάτων κατά της ιδιοκτησίας. Κατηγοριοποίηση των εγκλημάτων κατά της ιδιοκτησίας.</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2. Το έγκλημα της κλοπής (άρθρο 372 ΠΚ): Η τυποποίηση της «κλοπής». Συσχέτιση με την υπεξαίρεση. Το υλικό αντικείμενο (πράγμα, κινητό, ξένο)</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3. Η πράξη προσβολής στο έγκλημα της κλοπής: «Αφαίρεση». Έννοια κατοχής. Κυριότητα και κατοχή. Νομή και κατοχή. Βούληση κατοχής και γνώση κατοχής. Διάρρηξη κατοχής. Συγκατοχή. Διαβαθμισμένη κατοχή. Διάκριση κατοχής από απλή επαφή. Διάκριση από περιουσιακή διάθεση (απάτη). Οι ιδιαίτερες περιπτώσεις στη νομολογία.</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4. Ολοκλήρωση αφαίρεσης: Η «πρόσκτηση» του πράγματος στη νέα κατοχή του δράστη – τυπική αποπεράτωση του εγκλήματος. Η έλλειψη συγκατάθεσης του κατόχου (συγκατάθεση κατόχου – συναίνεση κυρίου). Η υποκειμενική υπόσταση στο έγκλημα της κλοπής: Δόλος για τα στοιχεία της αντικειμενικής υπόστασης. Ο σκοπός ιδιοποίησης: Συστηματική κατάταξη. Η έννοια της ιδιοποίησης (ως πρόσκτηση και οριστική αποστέρηση). Οι θεωρίες για την ιδιοποίηση (η θεωρία της υπόστασης, η θεωρία της αξίας του πράγματος και η ενωτική θεωρία). Το «παράνομο» της ιδιοποίησης. Προβληματικές περιπτώσεις (κλοπή πραγμάτων παραστατικών αξίας, κλοπή εγγράφων νομιμοποίησης/αποδεικτικών δικαιώματος, κλοπή πιστωτικών καρτών).</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5. Οι μορφές εμφάνισης του εγκλήματος της κλοπής: Απόπειρα. Συμμετοχή. Συρροή (Η «μέτρηση» των κλοπών – Η συρροή με άλλα εγκλήματα). Η ποινική κύρωση. Οι παραλλαγές της κλοπής: Η προνομιούχος κλοπή (η κλοπή αντικειμένου «μικρής αξίας» – ά. 377 ΠΚ). Η απλά διακεκριμένη κλοπή: Η κλοπή αντικειμένου «ιδιαίτερα μεγάλης αξί</w:t>
      </w:r>
      <w:r w:rsidR="003250E4">
        <w:rPr>
          <w:rFonts w:ascii="Arial" w:hAnsi="Arial" w:cs="Arial"/>
          <w:color w:val="555555"/>
          <w:sz w:val="21"/>
          <w:szCs w:val="21"/>
        </w:rPr>
        <w:t>ας» (ά. 372 παρ. 1 περ. 2η ΠΚ).</w:t>
      </w:r>
    </w:p>
    <w:p w:rsidR="00A60BE5" w:rsidRPr="003250E4" w:rsidRDefault="00A60BE5" w:rsidP="003250E4">
      <w:pPr>
        <w:pStyle w:val="-HTML"/>
        <w:jc w:val="both"/>
        <w:rPr>
          <w:rFonts w:ascii="Verdana" w:hAnsi="Verdana"/>
          <w:color w:val="000000"/>
          <w:sz w:val="10"/>
          <w:szCs w:val="10"/>
        </w:rPr>
      </w:pPr>
      <w:r>
        <w:rPr>
          <w:rFonts w:ascii="Arial" w:hAnsi="Arial" w:cs="Arial"/>
          <w:color w:val="555555"/>
          <w:sz w:val="21"/>
          <w:szCs w:val="21"/>
        </w:rPr>
        <w:t xml:space="preserve">6. Οι ιδιαίτερα διακεκριμένες κλοπές (ά. 374 ΠΚ): </w:t>
      </w:r>
      <w:r w:rsidR="003250E4">
        <w:rPr>
          <w:rFonts w:ascii="Arial" w:hAnsi="Arial" w:cs="Arial"/>
          <w:color w:val="555555"/>
          <w:sz w:val="21"/>
          <w:szCs w:val="21"/>
        </w:rPr>
        <w:t xml:space="preserve">§1 </w:t>
      </w:r>
      <w:r>
        <w:rPr>
          <w:rFonts w:ascii="Arial" w:hAnsi="Arial" w:cs="Arial"/>
          <w:color w:val="555555"/>
          <w:sz w:val="21"/>
          <w:szCs w:val="21"/>
        </w:rPr>
        <w:t>α. Κλοπή πράγματος αφιερωμένου στη θρησκευτική λατρεία από τόπο προορισμένο γι’ αυτήν</w:t>
      </w:r>
      <w:r w:rsidR="003250E4">
        <w:rPr>
          <w:rFonts w:ascii="Arial" w:hAnsi="Arial" w:cs="Arial"/>
          <w:color w:val="555555"/>
          <w:sz w:val="21"/>
          <w:szCs w:val="21"/>
        </w:rPr>
        <w:t xml:space="preserve">, </w:t>
      </w:r>
      <w:r w:rsidR="003250E4" w:rsidRPr="003250E4">
        <w:rPr>
          <w:rFonts w:ascii="Arial" w:hAnsi="Arial" w:cs="Arial"/>
          <w:color w:val="555555"/>
          <w:sz w:val="21"/>
          <w:szCs w:val="21"/>
        </w:rPr>
        <w:t>καλλιτεχνικής ή αρχαιολογικής ή ιστορικής σημασίας</w:t>
      </w:r>
      <w:r>
        <w:rPr>
          <w:rFonts w:ascii="Arial" w:hAnsi="Arial" w:cs="Arial"/>
          <w:color w:val="555555"/>
          <w:sz w:val="21"/>
          <w:szCs w:val="21"/>
        </w:rPr>
        <w:t>. β. Κλοπή πράγματος επιστημονικής, καλλιτεχνικής, αρχαιολογικής ή ιστορικής σημασίας</w:t>
      </w:r>
      <w:r w:rsidR="003250E4">
        <w:rPr>
          <w:rFonts w:ascii="Arial" w:hAnsi="Arial" w:cs="Arial"/>
          <w:color w:val="555555"/>
          <w:sz w:val="21"/>
          <w:szCs w:val="21"/>
        </w:rPr>
        <w:t xml:space="preserve">, </w:t>
      </w:r>
      <w:r w:rsidR="003250E4" w:rsidRPr="003250E4">
        <w:rPr>
          <w:rFonts w:ascii="Arial" w:hAnsi="Arial" w:cs="Arial"/>
          <w:color w:val="555555"/>
          <w:sz w:val="21"/>
          <w:szCs w:val="21"/>
        </w:rPr>
        <w:t>που βρίσκεται σε συλλογή εκτεθειμένη σε κοινή θέα ή σε δημόσιο οίκημα ή σε άλλο δημόσιο τόπο</w:t>
      </w:r>
      <w:r w:rsidR="003250E4">
        <w:rPr>
          <w:rFonts w:ascii="Arial" w:hAnsi="Arial" w:cs="Arial"/>
          <w:color w:val="555555"/>
          <w:sz w:val="21"/>
          <w:szCs w:val="21"/>
        </w:rPr>
        <w:t xml:space="preserve"> – </w:t>
      </w:r>
      <w:proofErr w:type="spellStart"/>
      <w:r w:rsidR="003250E4">
        <w:rPr>
          <w:rFonts w:ascii="Arial" w:hAnsi="Arial" w:cs="Arial"/>
          <w:color w:val="555555"/>
          <w:sz w:val="21"/>
          <w:szCs w:val="21"/>
        </w:rPr>
        <w:t>βα</w:t>
      </w:r>
      <w:proofErr w:type="spellEnd"/>
      <w:r w:rsidR="003250E4">
        <w:rPr>
          <w:rFonts w:ascii="Arial" w:hAnsi="Arial" w:cs="Arial"/>
          <w:color w:val="555555"/>
          <w:sz w:val="21"/>
          <w:szCs w:val="21"/>
        </w:rPr>
        <w:t xml:space="preserve">) κλοπή πράγματος </w:t>
      </w:r>
      <w:r w:rsidR="003250E4" w:rsidRPr="003250E4">
        <w:rPr>
          <w:rFonts w:ascii="Arial" w:hAnsi="Arial" w:cs="Arial"/>
          <w:color w:val="555555"/>
          <w:sz w:val="21"/>
          <w:szCs w:val="21"/>
        </w:rPr>
        <w:t>προορισμένο</w:t>
      </w:r>
      <w:r w:rsidR="003250E4">
        <w:rPr>
          <w:rFonts w:ascii="Arial" w:hAnsi="Arial" w:cs="Arial"/>
          <w:color w:val="555555"/>
          <w:sz w:val="21"/>
          <w:szCs w:val="21"/>
        </w:rPr>
        <w:t>υ</w:t>
      </w:r>
      <w:r w:rsidR="003250E4" w:rsidRPr="003250E4">
        <w:rPr>
          <w:rFonts w:ascii="Arial" w:hAnsi="Arial" w:cs="Arial"/>
          <w:color w:val="555555"/>
          <w:sz w:val="21"/>
          <w:szCs w:val="21"/>
        </w:rPr>
        <w:t xml:space="preserve"> από τη θέση του ή από την κατασκευή του για την εξυπηρέτηση της λειτουργίας ή την ασφάλεια της συγκοινωνίας μέσων σταθερής τροχιάς, πλοίων ή αεροσκαφών, </w:t>
      </w:r>
      <w:proofErr w:type="spellStart"/>
      <w:r w:rsidR="003250E4" w:rsidRPr="003250E4">
        <w:rPr>
          <w:rFonts w:ascii="Arial" w:hAnsi="Arial" w:cs="Arial"/>
          <w:color w:val="555555"/>
          <w:sz w:val="21"/>
          <w:szCs w:val="21"/>
        </w:rPr>
        <w:t>ββ</w:t>
      </w:r>
      <w:proofErr w:type="spellEnd"/>
      <w:r w:rsidR="003250E4" w:rsidRPr="003250E4">
        <w:rPr>
          <w:rFonts w:ascii="Arial" w:hAnsi="Arial" w:cs="Arial"/>
          <w:color w:val="555555"/>
          <w:sz w:val="21"/>
          <w:szCs w:val="21"/>
        </w:rPr>
        <w:t xml:space="preserve">) </w:t>
      </w:r>
      <w:r w:rsidR="003250E4">
        <w:rPr>
          <w:rFonts w:ascii="Arial" w:hAnsi="Arial" w:cs="Arial"/>
          <w:color w:val="555555"/>
          <w:sz w:val="21"/>
          <w:szCs w:val="21"/>
        </w:rPr>
        <w:t xml:space="preserve">κλοπή πράγματος </w:t>
      </w:r>
      <w:r w:rsidR="003250E4" w:rsidRPr="003250E4">
        <w:rPr>
          <w:rFonts w:ascii="Arial" w:hAnsi="Arial" w:cs="Arial"/>
          <w:color w:val="555555"/>
          <w:sz w:val="21"/>
          <w:szCs w:val="21"/>
        </w:rPr>
        <w:t xml:space="preserve">που αποτελεί τμήμα εξοπλισμού δικτύου μεταφοράς ή διανομής ηλεκτρικής ενέργειας ή δικτύου αποχέτευσης </w:t>
      </w:r>
      <w:proofErr w:type="spellStart"/>
      <w:r w:rsidR="003250E4" w:rsidRPr="003250E4">
        <w:rPr>
          <w:rFonts w:ascii="Arial" w:hAnsi="Arial" w:cs="Arial"/>
          <w:color w:val="555555"/>
          <w:sz w:val="21"/>
          <w:szCs w:val="21"/>
        </w:rPr>
        <w:t>ομβρίων</w:t>
      </w:r>
      <w:proofErr w:type="spellEnd"/>
      <w:r w:rsidR="003250E4" w:rsidRPr="003250E4">
        <w:rPr>
          <w:rFonts w:ascii="Arial" w:hAnsi="Arial" w:cs="Arial"/>
          <w:color w:val="555555"/>
          <w:sz w:val="21"/>
          <w:szCs w:val="21"/>
        </w:rPr>
        <w:t xml:space="preserve"> και ακαθάρτων υδάτων</w:t>
      </w:r>
      <w:r w:rsidR="003250E4">
        <w:rPr>
          <w:rFonts w:ascii="Arial" w:hAnsi="Arial" w:cs="Arial"/>
          <w:color w:val="555555"/>
          <w:sz w:val="21"/>
          <w:szCs w:val="21"/>
        </w:rPr>
        <w:t xml:space="preserve">. </w:t>
      </w:r>
      <w:r>
        <w:rPr>
          <w:rFonts w:ascii="Arial" w:hAnsi="Arial" w:cs="Arial"/>
          <w:color w:val="555555"/>
          <w:sz w:val="21"/>
          <w:szCs w:val="21"/>
        </w:rPr>
        <w:t xml:space="preserve">γ. Κλοπή που υπερβαίνει σε αξία τις 120.000 ευρώ. δ. Κλοπή που τελέστηκε από δύο ή περισσότερους που είχαν οργανωθεί με σκοπό την τέλεση κλοπών. ε. </w:t>
      </w:r>
      <w:r w:rsidR="003250E4" w:rsidRPr="003250E4">
        <w:rPr>
          <w:rFonts w:ascii="Arial" w:hAnsi="Arial" w:cs="Arial"/>
          <w:color w:val="555555"/>
          <w:sz w:val="21"/>
          <w:szCs w:val="21"/>
        </w:rPr>
        <w:t>κλοπές κατ’ επάγγελμα.</w:t>
      </w:r>
      <w:r w:rsidR="003250E4">
        <w:rPr>
          <w:rFonts w:ascii="Arial" w:hAnsi="Arial" w:cs="Arial"/>
          <w:color w:val="555555"/>
          <w:sz w:val="21"/>
          <w:szCs w:val="21"/>
        </w:rPr>
        <w:t xml:space="preserve"> §2 </w:t>
      </w:r>
      <w:r>
        <w:rPr>
          <w:rFonts w:ascii="Arial" w:hAnsi="Arial" w:cs="Arial"/>
          <w:color w:val="555555"/>
          <w:sz w:val="21"/>
          <w:szCs w:val="21"/>
        </w:rPr>
        <w:t>Κλοπή στρεφόμενη άμεσα κατά του νομικού προσώπου του ελληνικού δημοσίου, των νομικών προσώπων δημοσίου δικαίου ή των οργανισμών τοπικής αυτοδιοίκησης και η αξία του αντικειμένου της υπερβαίνει συνολικά το ποσό των 120.000 ευρώ.</w:t>
      </w:r>
      <w:r w:rsidR="003250E4">
        <w:rPr>
          <w:rFonts w:ascii="Arial" w:hAnsi="Arial" w:cs="Arial"/>
          <w:color w:val="555555"/>
          <w:sz w:val="21"/>
          <w:szCs w:val="21"/>
        </w:rPr>
        <w:t xml:space="preserve"> -</w:t>
      </w:r>
      <w:r>
        <w:rPr>
          <w:rFonts w:ascii="Arial" w:hAnsi="Arial" w:cs="Arial"/>
          <w:color w:val="555555"/>
          <w:sz w:val="21"/>
          <w:szCs w:val="21"/>
        </w:rPr>
        <w:t xml:space="preserve"> Οι εκτός του ΠΚ παραλλαγές. – Η δίωξη της κλοπής.</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7. Το έγκλημα της υπεξαίρεσης (ά. 375 ΠΚ): Υλικό αντικείμενο (α. Το ξένο πράγμα στο έγκλημα της υπεξαίρεσης. β. Υπεξαίρεση του υποκατάστατου – το πλάσμα άρθρου 375 παρ. 4 ΠΚ). Η πράξη προσβολής – «παράνομη ιδιοποίηση» (α. Η πράξη της «ιδιοποίησης. Οι ιδιαιτερότητες της ασκούμενης κατοχής. Τα νομοτυπικά και ουσιαστικά χαρακτηριστικά της. β. Το «παράνομο» της ιδιοποίησης. γ. Ιδιαίτερες περιπτώσεις από τη νομολογία). Η υποκειμενική υπόσταση στο έγκλημα της υπεξαίρεσης. Οι μορφές εμφάνισης του εγκλήματος (Απόπειρα. Συμμετοχή. Συρροή). Η ποινική κύρωση.</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 xml:space="preserve">8. Οι παραλλαγές του εγκλήματος της υπεξαίρεσης: Η προνομιούχος υπεξαίρεση (ά. 377 ΠΚ). – Οι διακεκριμένες μορφές: Η υπεξαίρεση αντικειμένου ιδιαίτερα μεγάλης αξίας (ά. 375 παρ. 1 </w:t>
      </w:r>
      <w:proofErr w:type="spellStart"/>
      <w:r>
        <w:rPr>
          <w:rFonts w:ascii="Arial" w:hAnsi="Arial" w:cs="Arial"/>
          <w:color w:val="555555"/>
          <w:sz w:val="21"/>
          <w:szCs w:val="21"/>
        </w:rPr>
        <w:t>εδ</w:t>
      </w:r>
      <w:proofErr w:type="spellEnd"/>
      <w:r>
        <w:rPr>
          <w:rFonts w:ascii="Arial" w:hAnsi="Arial" w:cs="Arial"/>
          <w:color w:val="555555"/>
          <w:sz w:val="21"/>
          <w:szCs w:val="21"/>
        </w:rPr>
        <w:t xml:space="preserve">. α΄ περ. 2η ΠΚ). Η υπεξαίρεση πράγματος εμπιστευμένου στον δράστη λόγω ανάγκης ή θεσμικής ιδιότητας (ά. 375 παρ. 1 </w:t>
      </w:r>
      <w:proofErr w:type="spellStart"/>
      <w:r>
        <w:rPr>
          <w:rFonts w:ascii="Arial" w:hAnsi="Arial" w:cs="Arial"/>
          <w:color w:val="555555"/>
          <w:sz w:val="21"/>
          <w:szCs w:val="21"/>
        </w:rPr>
        <w:t>εδ</w:t>
      </w:r>
      <w:proofErr w:type="spellEnd"/>
      <w:r>
        <w:rPr>
          <w:rFonts w:ascii="Arial" w:hAnsi="Arial" w:cs="Arial"/>
          <w:color w:val="555555"/>
          <w:sz w:val="21"/>
          <w:szCs w:val="21"/>
        </w:rPr>
        <w:t>. β΄ ΠΚ). Οι ιδιαίτερα διακεκριμένες υπεξαιρέσεις: η υπεξαίρεση πράγματος αξίας μεγαλύτερης των 120.000 ευρώ (ά. 375 παρ. 2 ΠΚ). Υπεξαίρεση στρεφόμενη άμεσα κατά του νομικού προσώπου του ελληνικού δημοσίου, των νομικών προσώπων δημοσίου δικαίου ή των οργανισμών τοπικής αυτοδιοίκησης και η αξία του αντικειμένου της υπερβαίνει συνολικά το ποσό των 120.000 ευρώ. Οι μορφές εμφάνισης του εγκλήματος (Απόπειρα. Συμμετοχή. Συρροή). Η ποινική κύρωση. Η δίωξη του εγκλήματος.</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 xml:space="preserve">9. Το έγκλημα της αυθαίρετης χρήσης μεταφορικού μέσου (ά. 374Α ΠΚ): Η αντικειμενική υπόσταση: </w:t>
      </w:r>
      <w:proofErr w:type="spellStart"/>
      <w:r>
        <w:rPr>
          <w:rFonts w:ascii="Arial" w:hAnsi="Arial" w:cs="Arial"/>
          <w:color w:val="555555"/>
          <w:sz w:val="21"/>
          <w:szCs w:val="21"/>
        </w:rPr>
        <w:t>To</w:t>
      </w:r>
      <w:proofErr w:type="spellEnd"/>
      <w:r>
        <w:rPr>
          <w:rFonts w:ascii="Arial" w:hAnsi="Arial" w:cs="Arial"/>
          <w:color w:val="555555"/>
          <w:sz w:val="21"/>
          <w:szCs w:val="21"/>
        </w:rPr>
        <w:t xml:space="preserve"> υλικό αντικείμενο (ξένο μηχανοκίνητο μεταφορικό μέσο). Η αντικειμενική και η υποκειμενική υπόσταση του εγκλήματος. Οι μορφές εμφάνισης του εγκλήματος (Απόπειρα. Συμμετοχή. Συρροή). Η ποινική κύρωση. Η δίωξη του εγκλήματος.</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10. Το έγκλημα της ληστείας (ά. 380 ΠΚ): Οι τρεις βασικές μορφές της ληστείας. Η «ληστεία με τη στενή έννοια του όρου» (άρθρο 380 παρ. 1 περ. 1η ΠΚ). Η «ληστρική εκβίαση» (άρθρο 380 παρ. 1 περ. 2η ΠΚ). Η «ληστρική κλοπή» (άρθρο 380 παρ. 3 ΠΚ). – Η θεμελιώδης έννοια της «βίας»: Διακρίσεις και διαβαθμίσεις της βίας. Η «βία» της ληστείας (H άμεση σωματική βία. Απειλές ενωμένες με επικείμενο κίνδυνο σώματος ή ζωής. Ο δέκτης της βίας. Ο δέκτης του εξαγγελλόμενου κακού και τα δυνάμενα να εμπλακούν στη ληστεία πρόσωπα). – Η υποκειμενική υπόσταση. – Οι μορφές εμφάνισης του εγκλήματος (Απόπειρα. Συμμετοχή. Συρροή). – Η ποινική κύρωση των βασικών μορφών. Η δίωξη του εγκλήματος.</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11. Οι διακεκριμένες ληστείες (ά. 380 παρ. 2 ΠΚ): Η «θανατηφόρος ληστεία» ή η έχουσα ως αποτέλεσμα την βαριά σωματική βλάβη. Η τελεσθείσα με «ιδιαίτερη σκληρότητα». Συρροή περισσοτέρων διακεκριμένων μορφών ληστείας. Η ποινική κύρωση των διακεκριμένων μορφών. Απόπειρα και συμμετοχή στις διακεκριμένες μορφές ληστείας.</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 xml:space="preserve">12. Το έγκλημα της φθοράς ξένης ιδιοκτησίας (ά. 378 ΠΚ): Υλικό αντικείμενο. Η πράξη προσβολής: «καταστροφή», «βλάβη», «αχρήστευση». – Η υποκειμενική υπόσταση. – Οι μορφές εμφάνισης του εγκλήματος (Απόπειρα. Συμμετοχή. Συρροή). – Η ποινική κύρωση. – Οι παραλλαγές της φθοράς ξένης ιδιοκτησίας: Η προνομιούχος φθορά (ά. 378 παρ. 1 </w:t>
      </w:r>
      <w:proofErr w:type="spellStart"/>
      <w:r>
        <w:rPr>
          <w:rFonts w:ascii="Arial" w:hAnsi="Arial" w:cs="Arial"/>
          <w:color w:val="555555"/>
          <w:sz w:val="21"/>
          <w:szCs w:val="21"/>
        </w:rPr>
        <w:t>εδ</w:t>
      </w:r>
      <w:proofErr w:type="spellEnd"/>
      <w:r>
        <w:rPr>
          <w:rFonts w:ascii="Arial" w:hAnsi="Arial" w:cs="Arial"/>
          <w:color w:val="555555"/>
          <w:sz w:val="21"/>
          <w:szCs w:val="21"/>
        </w:rPr>
        <w:t xml:space="preserve">. β΄ ΠΚ). Οι διακεκριμένες φθορές (ά. 378 παρ. 1 </w:t>
      </w:r>
      <w:proofErr w:type="spellStart"/>
      <w:r>
        <w:rPr>
          <w:rFonts w:ascii="Arial" w:hAnsi="Arial" w:cs="Arial"/>
          <w:color w:val="555555"/>
          <w:sz w:val="21"/>
          <w:szCs w:val="21"/>
        </w:rPr>
        <w:t>εδ</w:t>
      </w:r>
      <w:proofErr w:type="spellEnd"/>
      <w:r>
        <w:rPr>
          <w:rFonts w:ascii="Arial" w:hAnsi="Arial" w:cs="Arial"/>
          <w:color w:val="555555"/>
          <w:sz w:val="21"/>
          <w:szCs w:val="21"/>
        </w:rPr>
        <w:t>. α΄ περ. 2η και 3η, παρ. 2 ΠΚ). Η φθορά αρχαίου μνημείου (του ν. 3028/2002). γ. Η φθορά του άρθρου 334 παρ. 2 ΠΚ. Η δίωξη</w:t>
      </w:r>
      <w:r w:rsidR="003653C7">
        <w:rPr>
          <w:rFonts w:ascii="Arial" w:hAnsi="Arial" w:cs="Arial"/>
          <w:color w:val="555555"/>
          <w:sz w:val="21"/>
          <w:szCs w:val="21"/>
        </w:rPr>
        <w:t xml:space="preserve"> του εγκλήματος (ά. 38</w:t>
      </w:r>
      <w:r w:rsidR="003653C7" w:rsidRPr="003653C7">
        <w:rPr>
          <w:rFonts w:ascii="Arial" w:hAnsi="Arial" w:cs="Arial"/>
          <w:color w:val="555555"/>
          <w:sz w:val="21"/>
          <w:szCs w:val="21"/>
        </w:rPr>
        <w:t>1 παρ.</w:t>
      </w:r>
      <w:r w:rsidR="003653C7">
        <w:rPr>
          <w:rFonts w:ascii="Arial" w:hAnsi="Arial" w:cs="Arial"/>
          <w:color w:val="555555"/>
          <w:sz w:val="21"/>
          <w:szCs w:val="21"/>
        </w:rPr>
        <w:t>1</w:t>
      </w:r>
      <w:r>
        <w:rPr>
          <w:rFonts w:ascii="Arial" w:hAnsi="Arial" w:cs="Arial"/>
          <w:color w:val="555555"/>
          <w:sz w:val="21"/>
          <w:szCs w:val="21"/>
        </w:rPr>
        <w:t xml:space="preserve"> ΠΚ).</w:t>
      </w:r>
      <w:r w:rsidR="00390899">
        <w:rPr>
          <w:rFonts w:ascii="Arial" w:hAnsi="Arial" w:cs="Arial"/>
          <w:color w:val="555555"/>
          <w:sz w:val="21"/>
          <w:szCs w:val="21"/>
        </w:rPr>
        <w:t>-</w:t>
      </w:r>
      <w:r w:rsidR="00390899" w:rsidRPr="00390899">
        <w:rPr>
          <w:rFonts w:ascii="Arial" w:hAnsi="Arial" w:cs="Arial"/>
          <w:color w:val="555555"/>
          <w:sz w:val="21"/>
          <w:szCs w:val="21"/>
        </w:rPr>
        <w:t xml:space="preserve"> Η νέα τυποποίηση της φθοράς ψη</w:t>
      </w:r>
      <w:r w:rsidR="00390899">
        <w:rPr>
          <w:rFonts w:ascii="Arial" w:hAnsi="Arial" w:cs="Arial"/>
          <w:color w:val="555555"/>
          <w:sz w:val="21"/>
          <w:szCs w:val="21"/>
        </w:rPr>
        <w:t>φιακών δεδομένων (άρθρο 379 ΠΚ).</w:t>
      </w:r>
    </w:p>
    <w:p w:rsidR="00A60BE5" w:rsidRDefault="00A60BE5" w:rsidP="00A60BE5">
      <w:pPr>
        <w:pStyle w:val="Web"/>
        <w:shd w:val="clear" w:color="auto" w:fill="FFFFFF"/>
        <w:spacing w:before="0" w:beforeAutospacing="0" w:after="150" w:afterAutospacing="0"/>
        <w:jc w:val="both"/>
        <w:rPr>
          <w:rFonts w:ascii="Arial" w:hAnsi="Arial" w:cs="Arial"/>
          <w:color w:val="555555"/>
          <w:sz w:val="21"/>
          <w:szCs w:val="21"/>
        </w:rPr>
      </w:pPr>
      <w:r>
        <w:rPr>
          <w:rFonts w:ascii="Arial" w:hAnsi="Arial" w:cs="Arial"/>
          <w:color w:val="555555"/>
          <w:sz w:val="21"/>
          <w:szCs w:val="21"/>
        </w:rPr>
        <w:t>13. H μεταστροφή του δράστη στα εγκλήματα κατά της ιδιοκτησίας – Η ρύθμιση του άρθρου 381 παρ. 2-4 ΠΚ: α. Ειδικός λόγος εξάλειψης του αξιοποίνου – η έμπρακτη μετάνοια (ά. 381 παρ.2 ΠΚ). β. Λόγοι απαλλαγής από την ποινή, γ. Ελαφρυντικές περιστάσεις.</w:t>
      </w:r>
    </w:p>
    <w:p w:rsidR="00390899" w:rsidRDefault="00390899" w:rsidP="00A60BE5">
      <w:pPr>
        <w:pStyle w:val="Web"/>
        <w:shd w:val="clear" w:color="auto" w:fill="FFFFFF"/>
        <w:spacing w:before="0" w:beforeAutospacing="0" w:after="150" w:afterAutospacing="0"/>
        <w:jc w:val="both"/>
        <w:rPr>
          <w:rFonts w:ascii="Arial" w:hAnsi="Arial" w:cs="Arial"/>
          <w:color w:val="555555"/>
          <w:sz w:val="21"/>
          <w:szCs w:val="21"/>
        </w:rPr>
      </w:pPr>
    </w:p>
    <w:p w:rsidR="00465497" w:rsidRDefault="00465497"/>
    <w:sectPr w:rsidR="00465497" w:rsidSect="00BF5E7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90"/>
  <w:proofState w:spelling="clean" w:grammar="clean"/>
  <w:defaultTabStop w:val="720"/>
  <w:characterSpacingControl w:val="doNotCompress"/>
  <w:compat/>
  <w:rsids>
    <w:rsidRoot w:val="00A60BE5"/>
    <w:rsid w:val="003250E4"/>
    <w:rsid w:val="003653C7"/>
    <w:rsid w:val="00390899"/>
    <w:rsid w:val="00465497"/>
    <w:rsid w:val="007A6750"/>
    <w:rsid w:val="00A60BE5"/>
    <w:rsid w:val="00BF5E7B"/>
    <w:rsid w:val="00D312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E7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60BE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TML">
    <w:name w:val="HTML Preformatted"/>
    <w:basedOn w:val="a"/>
    <w:link w:val="-HTMLChar"/>
    <w:uiPriority w:val="99"/>
    <w:unhideWhenUsed/>
    <w:rsid w:val="0032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3250E4"/>
    <w:rPr>
      <w:rFonts w:ascii="Courier New" w:eastAsia="Times New Roman" w:hAnsi="Courier New" w:cs="Courier New"/>
      <w:sz w:val="20"/>
      <w:szCs w:val="20"/>
      <w:lang w:eastAsia="el-GR"/>
    </w:rPr>
  </w:style>
</w:styles>
</file>

<file path=word/webSettings.xml><?xml version="1.0" encoding="utf-8"?>
<w:webSettings xmlns:r="http://schemas.openxmlformats.org/officeDocument/2006/relationships" xmlns:w="http://schemas.openxmlformats.org/wordprocessingml/2006/main">
  <w:divs>
    <w:div w:id="16123938">
      <w:bodyDiv w:val="1"/>
      <w:marLeft w:val="0"/>
      <w:marRight w:val="0"/>
      <w:marTop w:val="0"/>
      <w:marBottom w:val="0"/>
      <w:divBdr>
        <w:top w:val="none" w:sz="0" w:space="0" w:color="auto"/>
        <w:left w:val="none" w:sz="0" w:space="0" w:color="auto"/>
        <w:bottom w:val="none" w:sz="0" w:space="0" w:color="auto"/>
        <w:right w:val="none" w:sz="0" w:space="0" w:color="auto"/>
      </w:divBdr>
    </w:div>
    <w:div w:id="63977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1016</Words>
  <Characters>5492</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Άννα Αποστολίδου</dc:creator>
  <cp:keywords/>
  <dc:description/>
  <cp:lastModifiedBy>user</cp:lastModifiedBy>
  <cp:revision>3</cp:revision>
  <cp:lastPrinted>2020-08-19T12:38:00Z</cp:lastPrinted>
  <dcterms:created xsi:type="dcterms:W3CDTF">2020-06-27T18:24:00Z</dcterms:created>
  <dcterms:modified xsi:type="dcterms:W3CDTF">2023-10-12T12:56:00Z</dcterms:modified>
</cp:coreProperties>
</file>